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Есть вопиющий быт, есть вещие примеры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Есть вопиющий быт, есть вещие примеры,
          <w:br/>
           При всей их важности не лезущие в стих.
          <w:br/>
           Закон стиха суров: он ставит нам барьеры
          <w:br/>
           И говорит: «Скачи, но лишь от сих до сих».
          <w:br/>
          <w:br/>
          Есть клады ценных слез, есть копи, есть пещеры
          <w:br/>
           Алмазных вымыслов и фактов золотых,
          <w:br/>
           Но муза не придаст им ни малейшей веры,
          <w:br/>
           Пока отделки блеск не заиграл на них.
          <w:br/>
          <w:br/>
          Как часто темная певца терзает сила!
          <w:br/>
           Как песня бы его страданья облегчила!
          <w:br/>
           Пой, торопись, Орфей! Твой дар тебя спасет!
          <w:br/>
          <w:br/>
          Уж весь подземный сонм его за платье ловит…
          <w:br/>
           Он может умереть, пока слова готовит!
          <w:br/>
           Но не готовых слов он не произнесет.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2022-04-23T17:09:07+03:00</dcterms:created>
  <dcterms:modified xsi:type="dcterms:W3CDTF">2022-04-23T17:09:07+03:00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