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когда — когда-нибудь — как в воду
          <w:br/>
          И тебя потянет — в вечный путь,
          <w:br/>
          Оправдай змеиную породу:
          <w:br/>
          Дом — меня — мои стихи — забудь.
          <w:br/>
          <w:br/>
          Знай одно: что завтра будешь старой.
          <w:br/>
          Пей вино, правь тройкой, пой у Яра,
          <w:br/>
          Синеокою цыганкой будь.
          <w:br/>
          Знай одно: никто тебе не пара —
          <w:br/>
          И бросайся каждому на грудь.
          <w:br/>
          <w:br/>
          Ах, горят парижские бульвары!
          <w:br/>
          (Понимаешь — миллионы глаз!)
          <w:br/>
          Ах, гремят мадридские гитары!
          <w:br/>
          (Я о них писала — столько раз!)
          <w:br/>
          <w:br/>
          Знай одно: (твой взгляд широк от жара,
          <w:br/>
          Паруса надулись — добрый путь!)
          <w:br/>
          Знай одно: что завтра будешь старой,
          <w:br/>
          Остальное, деточка,— забудь.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2021-11-10T12:18:22+03:00</dcterms:created>
  <dcterms:modified xsi:type="dcterms:W3CDTF">2021-11-10T12:18:22+03:00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