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Амбруаз Тома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Тома, который… Что иное
          <w:br/>
          Сказать о нем, как не — Тома!..
          <w:br/>
          Кто онебесил все земное
          <w:br/>
          И кто — поэзия сама!
          <w:br/>
          Тома — «водица»!.. Как хотите,
          <w:br/>
          Подсуден даже модернист,
          <w:br/>
          Сказавший, — вы меня простите, —
          <w:br/>
          Что композитор… «водянист»!..
          <w:br/>
          Тома, озвучивший Миньону,
          <w:br/>
          Созданье Гетевской мечты,
          <w:br/>
          Кому весь мир воздал корону
          <w:br/>
          За звуки чистой красоты!
          <w:br/>
          Каким жемчужно быть чурбаном,
          <w:br/>
          Бездушным, черствым и сухим,
          <w:br/>
          И непробивным барабаном,
          <w:br/>
          И просто гадким и плохим,
          <w:br/>
          Чтобы назвать «Миньону» «нотным
          <w:br/>
          Кваском», ее не ощутив
          <w:br/>
          И не поняв, о чем поет нам
          <w:br/>
          За лейтмотивом лейтмотив!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2022-03-21T15:01:52+03:00</dcterms:created>
  <dcterms:modified xsi:type="dcterms:W3CDTF">2022-03-21T15:01:52+03:00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