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Ахматовой и Пастернака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Ахматовой и Пастернака,
          <w:br/>
           Цветаевой и Мандельштама
          <w:br/>
           Неразлучимы имена.
          <w:br/>
           Четыре путеводных знака —
          <w:br/>
           Их горний свет горит упрямо,
          <w:br/>
           Их связь таинственно ясна.
          <w:br/>
           Неугасимое созвездье!
          <w:br/>
           Навеки врозь, навеки вместе.
          <w:br/>
           Звезда в ответе за звезду.
          <w:br/>
           Для нас четырехзначность эта —
          <w:br/>
           Как бы четыре края света,
          <w:br/>
           Четыре времени в году.
          <w:br/>
           Их правотой наш век отмечен.
          <w:br/>
           Здесь крыть, как говорится, нечем
          <w:br/>
           Вам, нагоняющие страх.
          <w:br/>
           Здесь просто замкнутость квадрата,
          <w:br/>
           Семья, где две сестры, два брата,
          <w:br/>
           Изба о четырех углах…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2022-04-23T18:55:35+03:00</dcterms:created>
  <dcterms:modified xsi:type="dcterms:W3CDTF">2022-04-23T18:55:35+03:00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