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Горят твои ладони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‘Горят твои ладони,
          <w:br/>
          В ушах пасхальный звон,
          <w:br/>
          Ты, как святой Антоний,
          <w:br/>
          Виденьем искушен’.
          <w:br/>
          <w:br/>
          ‘Зачем во дни святые
          <w:br/>
          Ворвался день один,
          <w:br/>
          Как волосы густые
          <w:br/>
          Безумных Магдалин’.
          <w:br/>
          <w:br/>
          ‘Так любят только дети,
          <w:br/>
          И то лишь первый раз’.
          <w:br/>
          ‘Сильней всего на свете
          <w:br/>
          Лучи спокойных глаз’.
          <w:br/>
          <w:br/>
          ‘То дьявольские сети,
          <w:br/>
          Нечистая тоска’.
          <w:br/>
          ‘Белей всего на свете
          <w:br/>
          Была ее рука’.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2022-03-19T21:04:49+03:00</dcterms:created>
  <dcterms:modified xsi:type="dcterms:W3CDTF">2022-03-19T21:04:49+03:00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