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Листва закипает, как наши двадцатые,
          <w:br/>
           Когда Маяковский с Асеевым в дружестве
          <w:br/>
           Писали стихи о любви и о мужестве,
          <w:br/>
           Неугомонные и угловатые;
          <w:br/>
           Когда Пастернак в бормотанье восторженном,
          <w:br/>
           Стремительном, миротворяще-встревоженном,
          <w:br/>
           Слагал свои строки и тут же выбрасывал,
          <w:br/>
           Сквозь жизнь пробираясь движением брассовым;
          <w:br/>
           Когда над Есениным рдяными красками
          <w:br/>
           Пылали все зори рязанские истово,
          <w:br/>
           И Хлебников числа свои перелистывал
          <w:br/>
           И впроголодь пел, детворою обласканный.
          <w:br/>
           Листва закипает, как годы начальные,
          <w:br/>
           Уже отдаленные дымкой забвения,
          <w:br/>
           И новые к жизни идут поколения,
          <w:br/>
           Но листья кипят, будто годы те дальные,
          <w:br/>
           Те годы начальные, годы двадцатые:
          <w:br/>
           Мы нищие были, мы были богатые.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2022-04-22T01:31:04+03:00</dcterms:created>
  <dcterms:modified xsi:type="dcterms:W3CDTF">2022-04-22T01:31:04+03:00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