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Застольная песня Es kann schon nicht immer so bleiben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(Посвящена Баратынскому и Коншину)<w:br/> Ничто не бессмертно, не прочно<w:br/> Под вечно изменной луной,<w:br/> И все расцветает и вянет,<w:br/> Рожденное бедной землей.<w:br/> И прежде нас много, веселых,<w:br/> Полюбят любовь и вино,<w:br/> И в честь нам напенят бокалы,<w:br/> Любившим и пившим давно.<w:br/> Теперь мы доверчиво, дружно<w:br/> И тесно за чашей сидим.<w:br/> О дружба, да вечно пылаем<w:br/> Огнем мы бессмертным твоим!<w:br/><w:br/><p class="snoskatext">[1]Это уже не может всегда так оставаться (Нем. — Прим. «ImWerden»)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2022-04-21T11:46:37+03:00</dcterms:created>
  <dcterms:modified xsi:type="dcterms:W3CDTF">2022-04-21T11:46:37+03:00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