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Машенька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Поэма</em>
          <w:br/>
          <w:br/>
          Куда как надоел элегий современных
          <w:br/>
           Плаксивый тон; то ль дело иногда
          <w:br/>
           Послушать старичков-рассказчиков почтенных
          <w:br/>
           Про молодости их удалые года, —
          <w:br/>
           Невольно веришь им, когда, почти с слезою,
          <w:br/>
           Они, смотря на нас, качая головою,
          <w:br/>
           Насмешливо твердят: «То ль было в старину!»
          <w:br/>
          <w:br/>
          Теперь из их времён я свой рассказ начну.
          <w:br/>
           Хоть он в моих устах теряет сто процентов;
          <w:br/>
           Хоть ныне далеки мы от блаженных дней,
          <w:br/>
           Дней буйных праздников, гусарских кутежей,
          <w:br/>
           Уездных Ариадн, языковских студентов;
          <w:br/>
           Хоть этих лиц теперь почти уж боле нет,
          <w:br/>
           Хотя у нас теперь иные люди, нравы, —
          <w:br/>
           Но всё ещё поймём мы были прошлых лет
          <w:br/>
           И дедов старые проказы и забавы.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2022-04-22T11:09:40+03:00</dcterms:created>
  <dcterms:modified xsi:type="dcterms:W3CDTF">2022-04-22T11:09:40+03:00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