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бракосочетание Е.Д. и К.Г. Дункер (В часы забав, во дни пиров)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 забав, во дни пиров,
          <w:br/>
          Пред божеством благоговея,
          <w:br/>
          Поэты славили любовь
          <w:br/>
          И пышный факел Гименея.
          <w:br/>
          <w:br/>
          Он горячо волнует грудь
          <w:br/>
          И сквозь покров полупрозрачный
          <w:br/>
          На расцвеченный кажет путь
          <w:br/>
          И жениху и новобрачной.
          <w:br/>
          <w:br/>
          И мы отраду возвестим
          <w:br/>
          Князьям сегодняшнего пира;
          <w:br/>
          Споет о счастьи молодым
          <w:br/>
          Моя стареющая лира.
          <w:br/>
          <w:br/>
          На юность озираясь вновь
          <w:br/>
          И новой жизнью пламенея,
          <w:br/>
          Ура! и я хвалю любовь
          <w:br/>
          И пышный факел Гименея!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2022-03-17T20:54:26+03:00</dcterms:created>
  <dcterms:modified xsi:type="dcterms:W3CDTF">2022-03-17T20:54:26+03:00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