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может быть, чтоб жили мы напрасно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…Врубелевский Демон год от года
          <w:br/>
           тускнеет, погасает, так как он написан
          <w:br/>
           бронзовыми красками, которые трудно
          <w:br/>
           удержать…
          <w:br/>
           _Сообщение в печати 
          <w:br/>
          <w:br/>
          Не может быть, чтоб жили мы напрасно!
          <w:br/>
           Вот, обернувшись к юности, кричу:
          <w:br/>
           «Ты с нами! Ты безумна! Ты прекрасна!
          <w:br/>
           Ты, горнему подобная лучу!»
          <w:br/>
           . . . . . . . . . . . . . . . . . . .
          <w:br/>
           Так — далеко, в картинной галерее —
          <w:br/>
           тускнеет Демон, сброшенный с высот.
          <w:br/>
           И лишь зари обломок, не тускнея,
          <w:br/>
           в его венце отверженном цветет.
          <w:br/>
           И чем темнее бронзовые перья,
          <w:br/>
           тем ярче свет невидимой зари,
          <w:br/>
           как знак Мечты, Возмездья и Доверья,
          <w:br/>
           над взором несмирившимся горит…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2022-04-21T12:56:38+03:00</dcterms:created>
  <dcterms:modified xsi:type="dcterms:W3CDTF">2022-04-21T12:56:38+03:00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