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графического стиха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среди обыденной жизни,
          <w:br/>
           Свора слез в подворотне глотки
          <w:br/>
           За искры минут проходящий час.
          <w:br/>
           Сердце без боли — парень без походки.
          <w:br/>
           В пепельницу платка окурки глаз.
          <w:br/>
          <w:br/>
          Долго плюс дольше. Фокстерьеру сердца
          <w:br/>
           Кружиться, юлиться, вертеться.
          <w:br/>
          <w:br/>
          Волгою мокрый платок.
          <w:br/>
           В чайнике сердца кипяток.
          <w:br/>
           Доменной печью улыбки: 140 по Цельсию
          <w:br/>
           Обжигать кирпичи моих щек.
          <w:br/>
           Мимо перрона шаблона по рельсам
          <w:br/>
           Паровоз голоса с вагонами строк.
          <w:br/>
          <w:br/>
          Сквозь обруч рта, сквозь красное «о» он
          <w:br/>
           Красный клоун,
          <w:br/>
           Язык ранний
          <w:br/>
           Тост.
          <w:br/>
           В небес голубом стакане
          <w:br/>
           Гонококки звезд.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2022-04-23T11:44:28+03:00</dcterms:created>
  <dcterms:modified xsi:type="dcterms:W3CDTF">2022-04-23T11:44:28+03:00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