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Румянец яблока, на фоне Сентября,
          <w:br/>
          С его травой-листвой воздушно-золотой,
          <w:br/>
          Румянец девушки, когда горит заря,
          <w:br/>
          Румянец девушки, идущей за водою,
          <w:br/>
          Меж тем как в серебре и в зеркале реки
          <w:br/>
          Мелькают, зыбкие, и пляшут огоньки.
          <w:br/>
          Румянец сладостно-стыдливого незнанья,
          <w:br/>
          Когда услышит вдруг она
          <w:br/>
          Ее смутившее признанье,
          <w:br/>
          И он, сдержав свое дыханье,
          <w:br/>
          Безмолвно чувствует, что радость — суждена.
          <w:br/>
          И наконец еще, румянец тот, предельный,
          <w:br/>
          Когда они вдвоем сливаются в одно,
          <w:br/>
          И чашей полной, чашей цельной
          <w:br/>
          Пьют сладко-пьяное вино,
          <w:br/>
          И в этой неге беспредельной,
          <w:br/>
          В предвестьи сказки колыбельной,
          <w:br/>
          Разбиться чаше суждено.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2022-03-25T09:41:13+03:00</dcterms:created>
  <dcterms:modified xsi:type="dcterms:W3CDTF">2022-03-25T09:41:13+03:00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