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Шукшина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Хоронила Москва Шукшина,
          <w:br/>
           хоронила художника, то есть
          <w:br/>
           хоронила Москва мужика
          <w:br/>
           и активную совесть.
          <w:br/>
          <w:br/>
          Он лежал под цветами на треть,
          <w:br/>
           недоступный отныне.
          <w:br/>
           Он свою удивленную смерть
          <w:br/>
           предсказал всенародно в картине.
          <w:br/>
          <w:br/>
          В каждом городе он лежал
          <w:br/>
           на отвесных российских простынках.
          <w:br/>
           Называлось не кинозал —
          <w:br/>
           просто каждый пришел и простился.
          <w:br/>
          <w:br/>
          Он сегодняшним дням — как двойник.
          <w:br/>
           Когда зябко курил он чинарик,
          <w:br/>
           так же зябла, подняв воротник,
          <w:br/>
           вся страна в поездах и на нарах.
          <w:br/>
          <w:br/>
          Он хозяйственно понимал
          <w:br/>
           край как дом — где березы и хвойники.
          <w:br/>
           Занавесить бы черным Байкал,
          <w:br/>
           словно зеркало в доме покойника.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2022-04-22T12:52:07+03:00</dcterms:created>
  <dcterms:modified xsi:type="dcterms:W3CDTF">2022-04-22T12:52:07+03:00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