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мире, где наша особа
          <w:br/>
          Выполняет неясную роль,
          <w:br/>
          Мы с тобою состаримся оба,
          <w:br/>
          Как состарился в сказке король.
          <w:br/>
          <w:br/>
          Догорает, светясь терпеливо,
          <w:br/>
          Наша жизнь в заповедном краю,
          <w:br/>
          И встречаем мы здесь молчаливо
          <w:br/>
          Неизбежную участь свою.
          <w:br/>
          <w:br/>
          Но когда серебристые пряди
          <w:br/>
          Над твоим засверкают виском,
          <w:br/>
          Разорву пополам я тетради
          <w:br/>
          И с последним расстанусь стихом.
          <w:br/>
          <w:br/>
          Пусть душа, словно озеро, плещет
          <w:br/>
          У порога подземных ворот
          <w:br/>
          И багровые листья трепещут,
          <w:br/>
          Не касаясь поверхности вод.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2021-11-10T10:28:46+03:00</dcterms:created>
  <dcterms:modified xsi:type="dcterms:W3CDTF">2021-11-10T10:28:46+03:00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