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Тетушка и Марат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как тетушка моя была богата.
          <w:br/>
          Фарфора, серебра изрядная палата,
          <w:br/>
          Безделки разные и мебель акажу,
          <w:br/>
          Людовик, рококо — всего не расскажу.
          <w:br/>
          <w:br/>
          У тетушки моей стоял в гостином зале
          <w:br/>
          Бетховен гипсовый на лаковом рояле —
          <w:br/>
          У тетушки моей он был в большой чести.
          <w:br/>
          Однажды довелось мне в гости к ней прийти,—
          <w:br/>
          <w:br/>
          И, гордая собой, упрямая старуха
          <w:br/>
          Перед Бетховеном проговорила глухо:
          <w:br/>
          — Вот, душенька, Марат, работы Мирабо!
          <w:br/>
          — Да что вы, тетенька, не может быть того!
          <w:br/>
          <w:br/>
          Но старость черствая к поправкам глуховата:
          <w:br/>
          — Вот, душенька, портрет известного Марата
          <w:br/>
          Работы, ежели припомню, Мирабо.
          <w:br/>
          — Да что вы, тетенька, не может быть того!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2022-03-19T09:31:31+03:00</dcterms:created>
  <dcterms:modified xsi:type="dcterms:W3CDTF">2022-03-19T09:31:31+03:00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