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Трижды убил в стихах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…и при слове «грядущее» из
          <w:br/>
           русского языка выбегают…
          <w:br/>
          <em>
            <a href="https://rustih.ru/iosif-brodskij/">И. Бродский</a>
          </em>
          <w:br/>
          <w:br/>
          Трижды убил в стихах реального человека,
          <w:br/>
           и надо думать, однажды он эти стихи прочтет.
          <w:br/>
           Последнее, что увижу, будет улыбка зека,
          <w:br/>
           типа: в искусстве — эдак, в жизни — наоборот.
          <w:br/>
          <w:br/>
          В темном подъезде из допотопной дуры
          <w:br/>
           в брюхо шмальнет и спрячет за отворот пальто.
          <w:br/>
           Надо было выдумывать, а не писать с натуры.
          <w:br/>
           Кто вальнул Бориса? Кто его знает, кто!
          <w:br/>
          <w:br/>
          Из другого подъезда выйдет, пройдя подвалом,
          <w:br/>
           затянется «Беломором», поправляя муде.
          <w:br/>
           В районной библиотеке засопят над журналами
          <w:br/>
           люди из МВД.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2022-04-22T07:21:23+03:00</dcterms:created>
  <dcterms:modified xsi:type="dcterms:W3CDTF">2022-04-22T07:21:23+03:00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