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Л.М. Жемчужникову</em>
          <w:br/>
          <w:br/>
          Ты прав. Я вижу сам: нет силы произвола
          <w:br/>
           В моей душе, как в оны дни;
          <w:br/>
           Но не кори ее; ты с арфою Эола
          <w:br/>
           Ее, безвинную, сравни!
          <w:br/>
          <w:br/>
          Как жертва непогод, лишь струны ветер тронет,
          <w:br/>
           Не может не звучать она,-
          <w:br/>
           Так чуткая душа под бурей жизни стонет
          <w:br/>
           И плач окончить не вольна.
          <w:br/>
          <w:br/>
          С тех пор как друга нет, душа напрасно просит
          <w:br/>
           Отрад, надежд и светлых грез,-
          <w:br/>
           Далёко от меня их тот же вихрь уносит,
          <w:br/>
           Который жизнь ее унес.
          <w:br/>
          <w:br/>
          Так пусть душа звучит; пусть песня скорби льется
          <w:br/>
           И поминается мой друг,
          <w:br/>
           Пока последняя струна не оборвется,
          <w:br/>
           Издав тоски последний звук!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2022-04-26T21:33:39+03:00</dcterms:created>
  <dcterms:modified xsi:type="dcterms:W3CDTF">2022-04-26T21:33:39+03:00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