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Эпитафия (Под камнем сим лежит Мосальский тощий)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Под камнем сим лежит Мосальский[1] тощий:<w:br/> Он весь был в немощи — теперь попал он в мощи.<w:br/><w:br/><p class="snoskatext"><em>[1]Князь Кольцов-Мосальский А. А. (ум. 1843) — московский сенатор.</em>		<div class="b-r b-r--after-article"> <style> .top3 { width: 234px; height: 60px; } @media(min-width: 320px) { .top3 { width: 300px; height: 250px; } } @media(min-width: 365px) { .top3 { width: 336px; height: 280px; } } @media(min-width: 600px) { .top3 { width: 580px; height: 400px; } } </style> <ins class="adsbygoogle top3"      style="display:inline-block"      data-ad-client="ca-pub-4506408761846430"      data-ad-slot="8179390351"></ins> <script><w:br/>(adsbygoogle = window.adsbygoogle || []).push({});<w:br/></script> 	 </div>	 	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2022-04-21T11:33:34+03:00</dcterms:created>
  <dcterms:modified xsi:type="dcterms:W3CDTF">2022-04-21T11:33:34+03:00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